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61" w:rsidRDefault="00297A61" w:rsidP="00297A61">
      <w:pPr>
        <w:jc w:val="center"/>
        <w:rPr>
          <w:rFonts w:ascii="仿宋_GB2312" w:eastAsia="仿宋_GB2312"/>
          <w:b/>
          <w:sz w:val="32"/>
          <w:szCs w:val="32"/>
        </w:rPr>
      </w:pPr>
    </w:p>
    <w:p w:rsidR="00297A61" w:rsidRDefault="00297A61" w:rsidP="00297A61">
      <w:pPr>
        <w:jc w:val="center"/>
        <w:rPr>
          <w:rFonts w:ascii="仿宋_GB2312" w:eastAsia="仿宋_GB2312"/>
          <w:b/>
          <w:sz w:val="32"/>
          <w:szCs w:val="32"/>
        </w:rPr>
      </w:pPr>
    </w:p>
    <w:p w:rsidR="00297A61" w:rsidRPr="009A6E0D" w:rsidRDefault="00297A61" w:rsidP="00297A61">
      <w:pPr>
        <w:jc w:val="center"/>
        <w:rPr>
          <w:rFonts w:ascii="仿宋_GB2312" w:eastAsia="仿宋_GB2312"/>
          <w:b/>
          <w:sz w:val="32"/>
          <w:szCs w:val="32"/>
        </w:rPr>
      </w:pPr>
      <w:r w:rsidRPr="009A6E0D">
        <w:rPr>
          <w:rFonts w:ascii="仿宋_GB2312" w:eastAsia="仿宋_GB2312" w:hint="eastAsia"/>
          <w:b/>
          <w:sz w:val="32"/>
          <w:szCs w:val="32"/>
        </w:rPr>
        <w:t>厦一中</w:t>
      </w:r>
      <w:r>
        <w:rPr>
          <w:rFonts w:ascii="仿宋_GB2312" w:eastAsia="仿宋_GB2312" w:hint="eastAsia"/>
          <w:b/>
          <w:sz w:val="32"/>
          <w:szCs w:val="32"/>
        </w:rPr>
        <w:t>政[201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]</w:t>
      </w:r>
      <w:r w:rsidRPr="00DB3171">
        <w:rPr>
          <w:rFonts w:ascii="仿宋_GB2312" w:eastAsia="仿宋_GB2312" w:hint="eastAsia"/>
          <w:b/>
          <w:color w:val="000000"/>
          <w:sz w:val="32"/>
          <w:szCs w:val="32"/>
        </w:rPr>
        <w:t>21</w:t>
      </w:r>
      <w:r w:rsidRPr="009A6E0D">
        <w:rPr>
          <w:rFonts w:ascii="仿宋_GB2312" w:eastAsia="仿宋_GB2312" w:hint="eastAsia"/>
          <w:b/>
          <w:sz w:val="32"/>
          <w:szCs w:val="32"/>
        </w:rPr>
        <w:t>号</w:t>
      </w:r>
    </w:p>
    <w:p w:rsidR="00297A61" w:rsidRDefault="00297A61" w:rsidP="00297A61">
      <w:pPr>
        <w:jc w:val="center"/>
        <w:rPr>
          <w:rFonts w:ascii="黑体" w:eastAsia="黑体"/>
          <w:b/>
          <w:szCs w:val="32"/>
        </w:rPr>
      </w:pPr>
    </w:p>
    <w:p w:rsidR="00297A61" w:rsidRDefault="00297A61" w:rsidP="00297A61">
      <w:pPr>
        <w:jc w:val="center"/>
        <w:rPr>
          <w:rFonts w:ascii="黑体" w:eastAsia="黑体"/>
          <w:b/>
          <w:szCs w:val="32"/>
        </w:rPr>
      </w:pPr>
    </w:p>
    <w:p w:rsidR="00297A61" w:rsidRDefault="00297A61" w:rsidP="00297A61">
      <w:pPr>
        <w:jc w:val="center"/>
        <w:rPr>
          <w:rFonts w:ascii="黑体" w:eastAsia="黑体"/>
          <w:b/>
          <w:szCs w:val="32"/>
        </w:rPr>
      </w:pPr>
    </w:p>
    <w:p w:rsidR="00297A61" w:rsidRDefault="00297A61" w:rsidP="00297A61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厦门一中</w:t>
      </w:r>
    </w:p>
    <w:p w:rsidR="00297A61" w:rsidRPr="00E64555" w:rsidRDefault="00297A61" w:rsidP="00297A61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64555">
        <w:rPr>
          <w:rFonts w:ascii="方正小标宋简体" w:eastAsia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/>
          <w:bCs/>
          <w:sz w:val="44"/>
          <w:szCs w:val="44"/>
        </w:rPr>
        <w:t>7</w:t>
      </w:r>
      <w:r w:rsidRPr="00E64555">
        <w:rPr>
          <w:rFonts w:ascii="方正小标宋简体" w:eastAsia="方正小标宋简体" w:hint="eastAsia"/>
          <w:bCs/>
          <w:sz w:val="44"/>
          <w:szCs w:val="44"/>
        </w:rPr>
        <w:t>年高中体育特长生招生方案</w:t>
      </w:r>
    </w:p>
    <w:p w:rsidR="00297A61" w:rsidRDefault="00297A61" w:rsidP="00297A61">
      <w:pPr>
        <w:jc w:val="center"/>
        <w:rPr>
          <w:sz w:val="24"/>
        </w:rPr>
      </w:pP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我校是国家中学生体育协会田径分会会员学校,福建省体育田径、游泳特色项目学校，全国科技体育传统校。学校体育是厦门一中的办学特色之一，以培养优秀田径运动员为目标。经教育局同意，我校 2017年将招收一定数量的体育特长生。为公平、公正、公开地做好这项工作，特制定本方案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一、招生对象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符合我市普通高中普通生报名条件的应届初中毕业生，且初中阶段均在学籍所在校实际就读。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 xml:space="preserve">二、招生计划 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田径7名，游泳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6</w:t>
      </w:r>
      <w:r w:rsidRPr="000506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名，男子排球5名。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若报考人数或测试合格考生数不足，可不招满。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三、报考类别和条件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报考类别：田径、游泳、男子排球特长生。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报考条件：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1.综合素质评价毕业总评六个维度全部达到良好以上，“运动与健康”维度（体育特长）表现突出，具备高中学习的文化基础和学习能力，符合学校招生要求。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2.体育特长生应具有良好的身体素质和较高的运动技能。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⑴</w:t>
      </w: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田径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(限跑、跳类)</w:t>
      </w: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：应具备田径运动的良好身体条件，具有田径运动良好的基本能力和运动潜力，在同年龄段田径专项身体素质属于优秀水平，初中阶段曾获得市级以上田径运动会比赛个人项目前三名或区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级比</w:t>
      </w: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赛个人第一名，且成绩达到市前三名标准。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⑵</w:t>
      </w:r>
      <w:r w:rsidRPr="000506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游泳（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其中女生</w:t>
      </w:r>
      <w:r w:rsidRPr="000506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至少一名）：应具备游泳二级运动员（及以上）资格，具有游泳运动良好的基本能力和运动潜力，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初中阶段曾获得市级游泳比赛前二名、省赛前三名、全国赛前六名以上。</w:t>
      </w:r>
      <w:bookmarkStart w:id="0" w:name="_GoBack"/>
      <w:bookmarkEnd w:id="0"/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>⑶</w:t>
      </w: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排球：在初中阶段参加过区级以上排球比赛（球队主力队员）；身体条件、运动素质特别突出，有排球运动潜力。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以上均须提供相关奖状、证书、证明材料，需为教育行政部门组织或参与组织的比赛。若有造假，一经发现，立即取消特长生资格。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四、招生组织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（一）工作小组：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 xml:space="preserve">组长：周君力 </w:t>
      </w:r>
    </w:p>
    <w:p w:rsidR="00297A61" w:rsidRPr="000506A3" w:rsidRDefault="00297A61" w:rsidP="00297A61">
      <w:pPr>
        <w:spacing w:line="440" w:lineRule="exact"/>
        <w:ind w:leftChars="304" w:left="958" w:hangingChars="100" w:hanging="320"/>
        <w:rPr>
          <w:rFonts w:ascii="仿宋_GB2312" w:eastAsia="仿宋_GB2312" w:hAnsi="宋体"/>
          <w:color w:val="000000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成员：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陈佩玲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林宗进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王可怡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卞祖华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邓衍生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王先杰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（二）纪检小组：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组长：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张南峰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成员：</w:t>
      </w:r>
      <w:r w:rsidRPr="000506A3">
        <w:rPr>
          <w:rFonts w:ascii="仿宋_GB2312" w:eastAsia="仿宋_GB2312" w:hAnsi="宋体" w:hint="eastAsia"/>
          <w:color w:val="000000"/>
          <w:sz w:val="32"/>
          <w:szCs w:val="32"/>
        </w:rPr>
        <w:t>纪希弟  陈漳彬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五、报名时间与报名方式</w:t>
      </w:r>
    </w:p>
    <w:p w:rsidR="00297A61" w:rsidRPr="00FD62AF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C0236C">
        <w:rPr>
          <w:rFonts w:ascii="仿宋_GB2312" w:eastAsia="仿宋_GB2312" w:hAnsi="宋体" w:hint="eastAsia"/>
          <w:color w:val="000000"/>
          <w:sz w:val="32"/>
          <w:szCs w:val="32"/>
        </w:rPr>
        <w:t>（一）报名时间：2017年4月27日— 5月4日（五一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法定节</w:t>
      </w:r>
      <w:r w:rsidRPr="00C0236C">
        <w:rPr>
          <w:rFonts w:ascii="仿宋_GB2312" w:eastAsia="仿宋_GB2312" w:hAnsi="宋体" w:hint="eastAsia"/>
          <w:color w:val="000000"/>
          <w:sz w:val="32"/>
          <w:szCs w:val="32"/>
        </w:rPr>
        <w:t>假期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C0236C">
        <w:rPr>
          <w:rFonts w:ascii="仿宋_GB2312" w:eastAsia="仿宋_GB2312" w:hAnsi="宋体" w:hint="eastAsia"/>
          <w:color w:val="000000"/>
          <w:sz w:val="32"/>
          <w:szCs w:val="32"/>
        </w:rPr>
        <w:t>除外）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（二）报名地点：厦门市思明区文园路75号，厦门一中高中部教务处。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（三）报名注意事项：每位考生只能报考一所学校、一个项目，不得兼报。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 xml:space="preserve">（四）报名需提供材料：     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1．厦门一中2017年高中体育特长生报名表（报名表可从厦门一中网站下载或直接到我校教务处领取）；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2．户口簿</w:t>
      </w:r>
      <w:r>
        <w:rPr>
          <w:rFonts w:ascii="仿宋_GB2312" w:eastAsia="仿宋_GB2312" w:hAnsi="宋体" w:hint="eastAsia"/>
          <w:sz w:val="32"/>
          <w:szCs w:val="32"/>
        </w:rPr>
        <w:t>、二代</w:t>
      </w:r>
      <w:r w:rsidRPr="000506A3">
        <w:rPr>
          <w:rFonts w:ascii="仿宋_GB2312" w:eastAsia="仿宋_GB2312" w:hAnsi="宋体" w:hint="eastAsia"/>
          <w:sz w:val="32"/>
          <w:szCs w:val="32"/>
        </w:rPr>
        <w:t>身份证原件及复印件（非本市户籍的考生须提供监护人在厦居住的暂住证明、父（母）劳动合同、厦门市地方税务局社会保险缴费证明等原件及复印件）；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3．各类表彰、获奖证书原件及复印件；</w:t>
      </w:r>
    </w:p>
    <w:p w:rsidR="00297A61" w:rsidRPr="000506A3" w:rsidRDefault="00297A61" w:rsidP="00297A61">
      <w:pPr>
        <w:spacing w:line="440" w:lineRule="exact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（注：报名时请带原件复核，第2、3点提交的都为复印件，提交的材料一律不退回。）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六、考核方法、录取办法与时间安排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（一）考核方法：</w:t>
      </w:r>
    </w:p>
    <w:p w:rsidR="00297A61" w:rsidRPr="000506A3" w:rsidRDefault="00297A61" w:rsidP="00297A61">
      <w:pPr>
        <w:widowControl/>
        <w:spacing w:line="435" w:lineRule="atLeast"/>
        <w:ind w:firstLine="645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考生需参加市教育局统一组织的特长测试。</w:t>
      </w:r>
    </w:p>
    <w:p w:rsidR="00297A61" w:rsidRPr="000506A3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测试项目：</w:t>
      </w:r>
    </w:p>
    <w:p w:rsidR="00297A61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44EE2">
        <w:rPr>
          <w:rFonts w:ascii="仿宋_GB2312" w:eastAsia="仿宋_GB2312" w:hAnsi="宋体" w:cs="Arial" w:hint="eastAsia"/>
          <w:kern w:val="0"/>
          <w:sz w:val="32"/>
          <w:szCs w:val="32"/>
        </w:rPr>
        <w:t>※</w:t>
      </w:r>
      <w:r w:rsidRPr="00C44EE2">
        <w:rPr>
          <w:rFonts w:ascii="宋体" w:eastAsia="仿宋_GB2312" w:hAnsi="宋体" w:cs="Arial" w:hint="eastAsia"/>
          <w:kern w:val="0"/>
          <w:sz w:val="32"/>
          <w:szCs w:val="32"/>
        </w:rPr>
        <w:t> </w:t>
      </w:r>
      <w:r w:rsidRPr="00C44EE2">
        <w:rPr>
          <w:rFonts w:ascii="仿宋_GB2312" w:eastAsia="仿宋_GB2312" w:hAnsi="宋体" w:cs="Arial" w:hint="eastAsia"/>
          <w:kern w:val="0"/>
          <w:sz w:val="32"/>
          <w:szCs w:val="32"/>
        </w:rPr>
        <w:t>田径</w:t>
      </w:r>
    </w:p>
    <w:p w:rsidR="00297A61" w:rsidRPr="00C44EE2" w:rsidRDefault="00297A61" w:rsidP="00297A61">
      <w:pPr>
        <w:widowControl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（一）基本素质与技能（20分）：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1．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C44EE2">
          <w:rPr>
            <w:rFonts w:ascii="仿宋_GB2312" w:eastAsia="仿宋_GB2312" w:hint="eastAsia"/>
            <w:color w:val="000000"/>
            <w:sz w:val="32"/>
            <w:szCs w:val="32"/>
          </w:rPr>
          <w:t>100米</w:t>
        </w:r>
      </w:smartTag>
      <w:r w:rsidRPr="00C44EE2">
        <w:rPr>
          <w:rFonts w:ascii="仿宋_GB2312" w:eastAsia="仿宋_GB2312" w:hint="eastAsia"/>
          <w:color w:val="000000"/>
          <w:sz w:val="32"/>
          <w:szCs w:val="32"/>
        </w:rPr>
        <w:t>跑（8分）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2．立定跳远（8分）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3．田径专项技能（4分）：小步跑、高抬腿跑、后蹬跑、跨步跳，每小项1分，根据完成的动作质量进行评分。</w:t>
      </w:r>
    </w:p>
    <w:p w:rsidR="00297A61" w:rsidRPr="00C44EE2" w:rsidRDefault="00297A61" w:rsidP="00297A61">
      <w:pPr>
        <w:widowControl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（二）专项测试（80分）：从个人成绩证明的项目中自选一项</w:t>
      </w:r>
      <w:r w:rsidRPr="00C44EE2">
        <w:rPr>
          <w:rFonts w:ascii="仿宋_GB2312" w:eastAsia="仿宋_GB2312" w:hint="eastAsia"/>
          <w:sz w:val="32"/>
          <w:szCs w:val="32"/>
        </w:rPr>
        <w:t>参加测试（限跑、跳类）。把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44EE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C44EE2">
        <w:rPr>
          <w:rFonts w:ascii="仿宋_GB2312" w:eastAsia="仿宋_GB2312" w:hint="eastAsia"/>
          <w:sz w:val="32"/>
          <w:szCs w:val="32"/>
        </w:rPr>
        <w:t>作为专</w:t>
      </w:r>
      <w:r w:rsidRPr="00C44EE2">
        <w:rPr>
          <w:rFonts w:ascii="仿宋_GB2312" w:eastAsia="仿宋_GB2312" w:hint="eastAsia"/>
          <w:color w:val="000000"/>
          <w:sz w:val="32"/>
          <w:szCs w:val="32"/>
        </w:rPr>
        <w:t>项的考生，得再次进行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44EE2">
          <w:rPr>
            <w:rFonts w:ascii="仿宋_GB2312" w:eastAsia="仿宋_GB2312" w:hint="eastAsia"/>
            <w:color w:val="000000"/>
            <w:sz w:val="32"/>
            <w:szCs w:val="32"/>
          </w:rPr>
          <w:t>100米</w:t>
        </w:r>
      </w:smartTag>
      <w:r w:rsidRPr="00C44EE2">
        <w:rPr>
          <w:rFonts w:ascii="仿宋_GB2312" w:eastAsia="仿宋_GB2312" w:hint="eastAsia"/>
          <w:color w:val="000000"/>
          <w:sz w:val="32"/>
          <w:szCs w:val="32"/>
        </w:rPr>
        <w:t>专项测试。</w:t>
      </w:r>
    </w:p>
    <w:p w:rsidR="00297A61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※</w:t>
      </w:r>
      <w:r w:rsidRPr="000506A3">
        <w:rPr>
          <w:rFonts w:ascii="宋体" w:eastAsia="仿宋_GB2312" w:hAnsi="宋体" w:cs="Arial" w:hint="eastAsia"/>
          <w:kern w:val="0"/>
          <w:sz w:val="32"/>
          <w:szCs w:val="32"/>
        </w:rPr>
        <w:t> </w:t>
      </w: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游泳</w:t>
      </w:r>
    </w:p>
    <w:p w:rsidR="00297A61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C44EE2">
          <w:rPr>
            <w:rFonts w:ascii="仿宋_GB2312" w:eastAsia="仿宋_GB2312" w:hint="eastAsia"/>
            <w:color w:val="000000"/>
            <w:sz w:val="32"/>
            <w:szCs w:val="32"/>
          </w:rPr>
          <w:t>100米</w:t>
        </w:r>
      </w:smartTag>
      <w:r w:rsidRPr="00C44EE2">
        <w:rPr>
          <w:rFonts w:ascii="仿宋_GB2312" w:eastAsia="仿宋_GB2312" w:hint="eastAsia"/>
          <w:color w:val="000000"/>
          <w:sz w:val="32"/>
          <w:szCs w:val="32"/>
        </w:rPr>
        <w:t>测试（泳姿自选）（70分）：</w:t>
      </w:r>
      <w:r w:rsidRPr="00C44EE2">
        <w:rPr>
          <w:rFonts w:ascii="仿宋_GB2312" w:eastAsia="仿宋_GB2312" w:hAnsi="宋体" w:hint="eastAsia"/>
          <w:sz w:val="32"/>
          <w:szCs w:val="32"/>
        </w:rPr>
        <w:t>按不同泳姿评分标准测评。</w:t>
      </w:r>
    </w:p>
    <w:p w:rsidR="00297A61" w:rsidRPr="00C44EE2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C44EE2">
          <w:rPr>
            <w:rFonts w:ascii="仿宋_GB2312" w:eastAsia="仿宋_GB2312" w:hint="eastAsia"/>
            <w:color w:val="000000"/>
            <w:sz w:val="32"/>
            <w:szCs w:val="32"/>
          </w:rPr>
          <w:t>200米</w:t>
        </w:r>
      </w:smartTag>
      <w:r w:rsidRPr="00C44EE2">
        <w:rPr>
          <w:rFonts w:ascii="仿宋_GB2312" w:eastAsia="仿宋_GB2312" w:hint="eastAsia"/>
          <w:color w:val="000000"/>
          <w:sz w:val="32"/>
          <w:szCs w:val="32"/>
        </w:rPr>
        <w:t>混合泳测试（30分）</w:t>
      </w:r>
    </w:p>
    <w:p w:rsidR="00297A61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color w:val="000000"/>
          <w:sz w:val="32"/>
          <w:szCs w:val="32"/>
        </w:rPr>
        <w:t>注：</w:t>
      </w:r>
      <w:r w:rsidRPr="00C44EE2">
        <w:rPr>
          <w:rFonts w:ascii="仿宋_GB2312" w:eastAsia="仿宋_GB2312" w:hint="eastAsia"/>
          <w:sz w:val="32"/>
          <w:szCs w:val="32"/>
        </w:rPr>
        <w:t>参照国家等级运动员标准测评。</w:t>
      </w:r>
    </w:p>
    <w:p w:rsidR="00297A61" w:rsidRPr="00C44EE2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C44EE2">
        <w:rPr>
          <w:rFonts w:ascii="仿宋_GB2312" w:eastAsia="仿宋_GB2312" w:hAnsi="宋体" w:cs="Arial" w:hint="eastAsia"/>
          <w:kern w:val="0"/>
          <w:sz w:val="32"/>
          <w:szCs w:val="32"/>
        </w:rPr>
        <w:t>※男子排球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 w:rsidRPr="00C44EE2">
        <w:rPr>
          <w:rFonts w:ascii="仿宋_GB2312" w:eastAsia="仿宋_GB2312" w:hint="eastAsia"/>
          <w:sz w:val="32"/>
          <w:szCs w:val="32"/>
        </w:rPr>
        <w:t>一）身体素质测试（45分）：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1.立定跳远（10分）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2.100米跑（10分）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3.助跑摸高（10分）：必须双脚起跳。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4.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C44EE2">
          <w:rPr>
            <w:rFonts w:ascii="仿宋_GB2312" w:eastAsia="仿宋_GB2312" w:hint="eastAsia"/>
            <w:sz w:val="32"/>
            <w:szCs w:val="32"/>
          </w:rPr>
          <w:t>三米</w:t>
        </w:r>
      </w:smartTag>
      <w:r w:rsidRPr="00C44EE2">
        <w:rPr>
          <w:rFonts w:ascii="仿宋_GB2312" w:eastAsia="仿宋_GB2312" w:hint="eastAsia"/>
          <w:sz w:val="32"/>
          <w:szCs w:val="32"/>
        </w:rPr>
        <w:t>三向移动（10分）：</w:t>
      </w:r>
      <w:r w:rsidRPr="00C44EE2">
        <w:rPr>
          <w:rFonts w:ascii="仿宋_GB2312" w:eastAsia="仿宋_GB2312" w:hAnsi="宋体" w:hint="eastAsia"/>
          <w:sz w:val="32"/>
          <w:szCs w:val="32"/>
        </w:rPr>
        <w:t>详见“备注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C44EE2">
        <w:rPr>
          <w:rFonts w:ascii="仿宋_GB2312" w:eastAsia="仿宋_GB2312" w:hAnsi="宋体" w:hint="eastAsia"/>
          <w:sz w:val="32"/>
          <w:szCs w:val="32"/>
        </w:rPr>
        <w:t>”说明。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Ansi="宋体" w:hint="eastAsia"/>
          <w:sz w:val="32"/>
          <w:szCs w:val="32"/>
        </w:rPr>
        <w:t>5.身高（5分）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（二）专项测试（55分）：</w:t>
      </w:r>
      <w:r w:rsidRPr="00C44EE2">
        <w:rPr>
          <w:rFonts w:ascii="仿宋_GB2312" w:eastAsia="仿宋_GB2312" w:hAnsi="宋体" w:hint="eastAsia"/>
          <w:sz w:val="32"/>
          <w:szCs w:val="32"/>
        </w:rPr>
        <w:t>详见“备注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C44EE2">
        <w:rPr>
          <w:rFonts w:ascii="仿宋_GB2312" w:eastAsia="仿宋_GB2312" w:hAnsi="宋体" w:hint="eastAsia"/>
          <w:sz w:val="32"/>
          <w:szCs w:val="32"/>
        </w:rPr>
        <w:t>”说明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1.发球（10分）：发5次球，每次成功1分，其余5分为技评分。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2.垫球（15分）：对墙垫40次满分（10分），其余5分为技评分。</w:t>
      </w:r>
    </w:p>
    <w:p w:rsidR="00297A61" w:rsidRPr="00C44EE2" w:rsidRDefault="00297A61" w:rsidP="00297A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3.传球（15分）：对墙传20次满分（10分），其余5分为技评分。</w:t>
      </w:r>
    </w:p>
    <w:p w:rsidR="00297A61" w:rsidRPr="00C44EE2" w:rsidRDefault="00297A61" w:rsidP="00297A61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C44EE2">
        <w:rPr>
          <w:rFonts w:ascii="仿宋_GB2312" w:eastAsia="仿宋_GB2312" w:hint="eastAsia"/>
          <w:sz w:val="32"/>
          <w:szCs w:val="32"/>
        </w:rPr>
        <w:t>4.扣球（15分）：自抛（自传或自垫）自扣3次，每次5分，根据扣球质量评分，球网高度2.40米。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【备注1】</w:t>
      </w: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排球“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三米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三向移动测试”说明，如图3。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6A4D6B">
        <w:rPr>
          <w:rFonts w:ascii="仿宋_GB2312" w:eastAsia="仿宋_GB2312" w:hAnsi="仿宋" w:hint="eastAsia"/>
          <w:sz w:val="28"/>
          <w:szCs w:val="28"/>
        </w:rPr>
        <w:t>方法：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6A4D6B">
          <w:rPr>
            <w:rFonts w:ascii="仿宋_GB2312" w:eastAsia="仿宋_GB2312" w:hAnsi="仿宋" w:hint="eastAsia"/>
            <w:sz w:val="28"/>
            <w:szCs w:val="28"/>
          </w:rPr>
          <w:t>三米</w:t>
        </w:r>
      </w:smartTag>
      <w:r w:rsidRPr="006A4D6B">
        <w:rPr>
          <w:rFonts w:ascii="仿宋_GB2312" w:eastAsia="仿宋_GB2312" w:hAnsi="仿宋" w:hint="eastAsia"/>
          <w:sz w:val="28"/>
          <w:szCs w:val="28"/>
        </w:rPr>
        <w:t>三向移动，场地为三条边长为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sz w:val="28"/>
            <w:szCs w:val="28"/>
          </w:rPr>
          <w:t>3米</w:t>
        </w:r>
      </w:smartTag>
      <w:r w:rsidRPr="006A4D6B">
        <w:rPr>
          <w:rFonts w:ascii="仿宋_GB2312" w:eastAsia="仿宋_GB2312" w:hAnsi="仿宋" w:hint="eastAsia"/>
          <w:sz w:val="28"/>
          <w:szCs w:val="28"/>
        </w:rPr>
        <w:t>的直线组成，如图，O是原点也是测试的起始点，测试开始时在O、A、B、C点地上各设一个标志物，听到开始口令后碰到O点的标志物，开始向A点移动，碰到A点标志物后，回O点碰到O点标志物算一次往返（男生两次往返，女生一次往返），移动的顺序按A、B、C进行，最后一次回到O点，计时停止。</w:t>
      </w: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两次机会，取最优成绩，两次测试均出现违规现象，成绩</w:t>
      </w:r>
      <w:r w:rsidRPr="006A4D6B">
        <w:rPr>
          <w:rFonts w:ascii="仿宋_GB2312" w:eastAsia="仿宋_GB2312" w:hAnsi="仿宋" w:hint="eastAsia"/>
          <w:sz w:val="28"/>
          <w:szCs w:val="28"/>
        </w:rPr>
        <w:t>以零分计算。</w:t>
      </w:r>
    </w:p>
    <w:p w:rsidR="00297A61" w:rsidRPr="006A4D6B" w:rsidRDefault="00297A61" w:rsidP="00297A6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95885</wp:posOffset>
                </wp:positionV>
                <wp:extent cx="2167890" cy="1866900"/>
                <wp:effectExtent l="11430" t="13970" r="190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1866900"/>
                          <a:chOff x="5024" y="3763"/>
                          <a:chExt cx="3414" cy="29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024" y="3763"/>
                            <a:ext cx="2685" cy="2341"/>
                            <a:chOff x="4763" y="9468"/>
                            <a:chExt cx="3600" cy="296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303" y="9936"/>
                              <a:ext cx="1980" cy="1872"/>
                              <a:chOff x="5004" y="7765"/>
                              <a:chExt cx="2200" cy="2106"/>
                            </a:xfrm>
                          </wpg:grpSpPr>
                          <wps:wsp>
                            <wps:cNvPr id="4" name="Line 5"/>
                            <wps:cNvCnPr/>
                            <wps:spPr bwMode="auto">
                              <a:xfrm flipV="1">
                                <a:off x="5004" y="7765"/>
                                <a:ext cx="1" cy="21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6"/>
                            <wps:cNvCnPr/>
                            <wps:spPr bwMode="auto">
                              <a:xfrm>
                                <a:off x="5004" y="9871"/>
                                <a:ext cx="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 flipV="1">
                                <a:off x="5004" y="8292"/>
                                <a:ext cx="1600" cy="15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9936"/>
                              <a:ext cx="108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A61" w:rsidRPr="00022CEF" w:rsidRDefault="00297A61" w:rsidP="00297A61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点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米"/>
                                    <w:attr w:name="SourceValue" w:val="3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米</w:t>
                                  </w:r>
                                </w:smartTag>
                                <w:r w:rsidRPr="00022CEF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45</w:t>
                                </w:r>
                                <w:r w:rsidRPr="00022CEF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1165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A61" w:rsidRPr="00022CEF" w:rsidRDefault="00297A61" w:rsidP="00297A61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点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米"/>
                                    <w:attr w:name="SourceValue" w:val="3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米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3" y="9468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A61" w:rsidRPr="00022CEF" w:rsidRDefault="00297A61" w:rsidP="00297A61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点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米"/>
                                    <w:attr w:name="SourceValue" w:val="3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022CEF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米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11964"/>
                              <a:ext cx="72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A61" w:rsidRPr="00022CEF" w:rsidRDefault="00297A61" w:rsidP="00297A61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起终点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5303" y="10092"/>
                              <a:ext cx="0" cy="17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H="1">
                              <a:off x="5363" y="10509"/>
                              <a:ext cx="1260" cy="1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flipH="1">
                              <a:off x="5303" y="11808"/>
                              <a:ext cx="16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24" y="6254"/>
                            <a:ext cx="341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61" w:rsidRPr="002211DD" w:rsidRDefault="00297A61" w:rsidP="00297A61">
                              <w:pPr>
                                <w:rPr>
                                  <w:rFonts w:ascii="仿宋" w:eastAsia="仿宋" w:hAnsi="仿宋"/>
                                </w:rPr>
                              </w:pPr>
                              <w:r w:rsidRPr="002211DD">
                                <w:rPr>
                                  <w:rFonts w:ascii="仿宋" w:eastAsia="仿宋" w:hAnsi="仿宋" w:hint="eastAsia"/>
                                </w:rPr>
                                <w:t>图3</w:t>
                              </w:r>
                              <w:r w:rsidRPr="002211DD">
                                <w:rPr>
                                  <w:rFonts w:ascii="仿宋" w:eastAsia="仿宋" w:hAnsi="仿宋" w:hint="eastAsia"/>
                                  <w:color w:val="000000"/>
                                  <w:szCs w:val="21"/>
                                </w:rPr>
                                <w:t>排球“</w:t>
                              </w:r>
                              <w:smartTag w:uri="urn:schemas-microsoft-com:office:smarttags" w:element="chmetcnv">
                                <w:smartTagPr>
                                  <w:attr w:name="UnitName" w:val="米"/>
                                  <w:attr w:name="SourceValue" w:val="3"/>
                                  <w:attr w:name="HasSpace" w:val="False"/>
                                  <w:attr w:name="Negative" w:val="False"/>
                                  <w:attr w:name="NumberType" w:val="3"/>
                                  <w:attr w:name="TCSC" w:val="1"/>
                                </w:smartTagPr>
                                <w:r w:rsidRPr="002211DD">
                                  <w:rPr>
                                    <w:rFonts w:ascii="仿宋" w:eastAsia="仿宋" w:hAnsi="仿宋" w:hint="eastAsia"/>
                                    <w:color w:val="000000"/>
                                    <w:szCs w:val="21"/>
                                  </w:rPr>
                                  <w:t>三米</w:t>
                                </w:r>
                              </w:smartTag>
                              <w:r>
                                <w:rPr>
                                  <w:rFonts w:ascii="仿宋" w:eastAsia="仿宋" w:hAnsi="仿宋" w:hint="eastAsia"/>
                                  <w:color w:val="000000"/>
                                  <w:szCs w:val="21"/>
                                </w:rPr>
                                <w:t>三向</w:t>
                              </w:r>
                              <w:r w:rsidRPr="002211DD">
                                <w:rPr>
                                  <w:rFonts w:ascii="仿宋" w:eastAsia="仿宋" w:hAnsi="仿宋" w:hint="eastAsia"/>
                                  <w:color w:val="000000"/>
                                  <w:szCs w:val="21"/>
                                </w:rPr>
                                <w:t>移动测试”</w:t>
                              </w:r>
                              <w:r w:rsidRPr="002211DD">
                                <w:rPr>
                                  <w:rFonts w:ascii="仿宋" w:eastAsia="仿宋" w:hAnsi="仿宋" w:hint="eastAsia"/>
                                </w:rPr>
                                <w:t>图示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48pt;margin-top:7.55pt;width:170.7pt;height:147pt;z-index:251659264" coordorigin="5024,3763" coordsize="34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">
                <v:group id="Group 3" o:spid="_x0000_s1027" style="position:absolute;left:5024;top:3763;width:2685;height:2341" coordorigin="4763,9468" coordsize="3600,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5303;top:9936;width:1980;height:1872" coordorigin="5004,7765" coordsize="2200,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5" o:spid="_x0000_s1029" style="position:absolute;flip:y;visibility:visible;mso-wrap-style:square" from="5004,7765" to="5005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<v:stroke endarrow="block"/>
                    </v:line>
                    <v:line id="Line 6" o:spid="_x0000_s1030" style="position:absolute;visibility:visible;mso-wrap-style:square" from="5004,9871" to="7204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<v:stroke endarrow="block"/>
                    </v:line>
                    <v:line id="Line 7" o:spid="_x0000_s1031" style="position:absolute;flip:y;visibility:visible;mso-wrap-style:square" from="5004,8292" to="6604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<v:stroke endarrow="blo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6383;top:9936;width:10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vRcAA&#10;AADaAAAADwAAAGRycy9kb3ducmV2LnhtbERPXWvCMBR9H/gfwhX2tibKaEc1igjCmLChs+Djtblr&#10;y5qb0mS2+/fLQPDxcL6X69G24kq9bxxrmCUKBHHpTMOVhtPn7ukFhA/IBlvHpOGXPKxXk4cl5sYN&#10;fKDrMVQihrDPUUMdQpdL6cuaLPrEdcSR+3K9xRBhX0nT4xDDbSvnSqXSYsOxocaOtjWV38cfG2fY&#10;zYDv5WWffnRKnd+K/XNbZFo/TsfNAkSgMdzFN/er0ZDB/5XoB7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+vRcAAAADaAAAADwAAAAAAAAAAAAAAAACYAgAAZHJzL2Rvd25y&#10;ZXYueG1sUEsFBgAAAAAEAAQA9QAAAIUDAAAAAA==&#10;" strokecolor="white">
                    <v:textbox inset="0,0,0,0">
                      <w:txbxContent>
                        <w:p w:rsidR="00297A61" w:rsidRPr="00022CEF" w:rsidRDefault="00297A61" w:rsidP="00297A61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点</w:t>
                          </w:r>
                          <w:smartTag w:uri="urn:schemas-microsoft-com:office:smarttags" w:element="chmetcnv">
                            <w:smartTagPr>
                              <w:attr w:name="UnitName" w:val="米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smartTag>
                          <w:r w:rsidRPr="00022CEF">
                            <w:rPr>
                              <w:rFonts w:hint="eastAsia"/>
                              <w:sz w:val="15"/>
                              <w:szCs w:val="15"/>
                            </w:rPr>
                            <w:t>45</w:t>
                          </w:r>
                          <w:r w:rsidRPr="00022CEF">
                            <w:rPr>
                              <w:rFonts w:hint="eastAsia"/>
                              <w:sz w:val="15"/>
                              <w:szCs w:val="15"/>
                            </w:rPr>
                            <w:t>度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463;top:1165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7N8AA&#10;AADaAAAADwAAAGRycy9kb3ducmV2LnhtbERPTWvCQBC9C/0PyxR6011L0RJdRQqFUqHFWMHjmB2T&#10;YHY2ZLcm/fedg+Dx8b6X68E36kpdrANbmE4MKOIiuJpLCz/79/ErqJiQHTaBycIfRVivHkZLzFzo&#10;eUfXPJVKQjhmaKFKqc20jkVFHuMktMTCnUPnMQnsSu067CXcN/rZmJn2WLM0VNjSW0XFJf/1MsNv&#10;evwqTtvZd2vM8fOwfWkOc2ufHofNAlSiId3FN/eHsyBb5Yr4Qa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7N8AAAADaAAAADwAAAAAAAAAAAAAAAACYAgAAZHJzL2Rvd25y&#10;ZXYueG1sUEsFBgAAAAAEAAQA9QAAAIUDAAAAAA==&#10;" strokecolor="white">
                    <v:textbox inset="0,0,0,0">
                      <w:txbxContent>
                        <w:p w:rsidR="00297A61" w:rsidRPr="00022CEF" w:rsidRDefault="00297A61" w:rsidP="00297A61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点</w:t>
                          </w:r>
                          <w:smartTag w:uri="urn:schemas-microsoft-com:office:smarttags" w:element="chmetcnv">
                            <w:smartTagPr>
                              <w:attr w:name="UnitName" w:val="米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smartTag>
                        </w:p>
                      </w:txbxContent>
                    </v:textbox>
                  </v:shape>
                  <v:shape id="Text Box 10" o:spid="_x0000_s1034" type="#_x0000_t202" style="position:absolute;left:5123;top:9468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rL8A&#10;AADaAAAADwAAAGRycy9kb3ducmV2LnhtbERPXWvCMBR9H/gfwhV8m4kiblajiCCIgkOn4OO1ubbF&#10;5qY00Xb/fhEGezyc79mitaV4Uu0LxxoGfQWCOHWm4EzD6Xv9/gnCB2SDpWPS8EMeFvPO2wwT4xo+&#10;0PMYMhFD2CeoIQ+hSqT0aU4Wfd9VxJG7udpiiLDOpKmxieG2lEOlxtJiwbEhx4pWOaX348PGGXbZ&#10;4D697sZflVKX7Xk3Ks8fWve67XIKIlAb/sV/7o3RMIHXlegH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J6svwAAANoAAAAPAAAAAAAAAAAAAAAAAJgCAABkcnMvZG93bnJl&#10;di54bWxQSwUGAAAAAAQABAD1AAAAhAMAAAAA&#10;" strokecolor="white">
                    <v:textbox inset="0,0,0,0">
                      <w:txbxContent>
                        <w:p w:rsidR="00297A61" w:rsidRPr="00022CEF" w:rsidRDefault="00297A61" w:rsidP="00297A61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点</w:t>
                          </w:r>
                          <w:smartTag w:uri="urn:schemas-microsoft-com:office:smarttags" w:element="chmetcnv">
                            <w:smartTagPr>
                              <w:attr w:name="UnitName" w:val="米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022CEF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smartTag>
                        </w:p>
                      </w:txbxContent>
                    </v:textbox>
                  </v:shape>
                  <v:shape id="Text Box 11" o:spid="_x0000_s1035" type="#_x0000_t202" style="position:absolute;left:4763;top:11964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wRs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7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8EbEAAAA2wAAAA8AAAAAAAAAAAAAAAAAmAIAAGRycy9k&#10;b3ducmV2LnhtbFBLBQYAAAAABAAEAPUAAACJAwAAAAA=&#10;" strokecolor="white">
                    <v:textbox inset="0,0,0,0">
                      <w:txbxContent>
                        <w:p w:rsidR="00297A61" w:rsidRPr="00022CEF" w:rsidRDefault="00297A61" w:rsidP="00297A61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起终点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5303,10092" to="5303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13" o:spid="_x0000_s1037" style="position:absolute;flip:x;visibility:visible;mso-wrap-style:square" from="5363,10509" to="6623,1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line id="Line 14" o:spid="_x0000_s1038" style="position:absolute;flip:x;visibility:visible;mso-wrap-style:square" from="5303,11808" to="6923,1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</v:group>
                <v:shape id="Text Box 15" o:spid="_x0000_s1039" type="#_x0000_t202" style="position:absolute;left:5024;top:6254;width:341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97A61" w:rsidRPr="002211DD" w:rsidRDefault="00297A61" w:rsidP="00297A61">
                        <w:pPr>
                          <w:rPr>
                            <w:rFonts w:ascii="仿宋" w:eastAsia="仿宋" w:hAnsi="仿宋"/>
                          </w:rPr>
                        </w:pPr>
                        <w:r w:rsidRPr="002211DD">
                          <w:rPr>
                            <w:rFonts w:ascii="仿宋" w:eastAsia="仿宋" w:hAnsi="仿宋" w:hint="eastAsia"/>
                          </w:rPr>
                          <w:t>图3</w:t>
                        </w:r>
                        <w:r w:rsidRPr="002211DD">
                          <w:rPr>
                            <w:rFonts w:ascii="仿宋" w:eastAsia="仿宋" w:hAnsi="仿宋" w:hint="eastAsia"/>
                            <w:color w:val="000000"/>
                            <w:szCs w:val="21"/>
                          </w:rPr>
                          <w:t>排球“</w:t>
                        </w:r>
                        <w:smartTag w:uri="urn:schemas-microsoft-com:office:smarttags" w:element="chmetcnv">
                          <w:smartTagPr>
                            <w:attr w:name="UnitName" w:val="米"/>
                            <w:attr w:name="SourceValue" w:val="3"/>
                            <w:attr w:name="HasSpace" w:val="False"/>
                            <w:attr w:name="Negative" w:val="False"/>
                            <w:attr w:name="NumberType" w:val="3"/>
                            <w:attr w:name="TCSC" w:val="1"/>
                          </w:smartTagPr>
                          <w:r w:rsidRPr="002211DD">
                            <w:rPr>
                              <w:rFonts w:ascii="仿宋" w:eastAsia="仿宋" w:hAnsi="仿宋" w:hint="eastAsia"/>
                              <w:color w:val="000000"/>
                              <w:szCs w:val="21"/>
                            </w:rPr>
                            <w:t>三米</w:t>
                          </w:r>
                        </w:smartTag>
                        <w:r>
                          <w:rPr>
                            <w:rFonts w:ascii="仿宋" w:eastAsia="仿宋" w:hAnsi="仿宋" w:hint="eastAsia"/>
                            <w:color w:val="000000"/>
                            <w:szCs w:val="21"/>
                          </w:rPr>
                          <w:t>三向</w:t>
                        </w:r>
                        <w:r w:rsidRPr="002211DD">
                          <w:rPr>
                            <w:rFonts w:ascii="仿宋" w:eastAsia="仿宋" w:hAnsi="仿宋" w:hint="eastAsia"/>
                            <w:color w:val="000000"/>
                            <w:szCs w:val="21"/>
                          </w:rPr>
                          <w:t>移动测试”</w:t>
                        </w:r>
                        <w:r w:rsidRPr="002211DD">
                          <w:rPr>
                            <w:rFonts w:ascii="仿宋" w:eastAsia="仿宋" w:hAnsi="仿宋" w:hint="eastAsia"/>
                          </w:rPr>
                          <w:t>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7A61" w:rsidRPr="006A4D6B" w:rsidRDefault="00297A61" w:rsidP="00297A61">
      <w:pPr>
        <w:rPr>
          <w:rFonts w:ascii="仿宋" w:eastAsia="仿宋" w:hAnsi="仿宋"/>
          <w:sz w:val="28"/>
          <w:szCs w:val="28"/>
        </w:rPr>
      </w:pPr>
    </w:p>
    <w:p w:rsidR="00297A61" w:rsidRPr="006A4D6B" w:rsidRDefault="00297A61" w:rsidP="00297A61">
      <w:pPr>
        <w:rPr>
          <w:rFonts w:ascii="仿宋" w:eastAsia="仿宋" w:hAnsi="仿宋"/>
          <w:sz w:val="28"/>
          <w:szCs w:val="28"/>
        </w:rPr>
      </w:pPr>
    </w:p>
    <w:p w:rsidR="00297A61" w:rsidRPr="006A4D6B" w:rsidRDefault="00297A61" w:rsidP="00297A61">
      <w:pPr>
        <w:rPr>
          <w:rFonts w:ascii="仿宋" w:eastAsia="仿宋" w:hAnsi="仿宋"/>
          <w:sz w:val="28"/>
          <w:szCs w:val="28"/>
        </w:rPr>
      </w:pPr>
    </w:p>
    <w:p w:rsidR="00297A61" w:rsidRPr="006A4D6B" w:rsidRDefault="00297A61" w:rsidP="00297A61">
      <w:pPr>
        <w:rPr>
          <w:rFonts w:ascii="仿宋" w:eastAsia="仿宋" w:hAnsi="仿宋"/>
          <w:sz w:val="28"/>
          <w:szCs w:val="28"/>
        </w:rPr>
      </w:pP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【备注2】</w:t>
      </w:r>
      <w:r w:rsidRPr="006A4D6B">
        <w:rPr>
          <w:rFonts w:ascii="仿宋_GB2312" w:eastAsia="仿宋_GB2312" w:hAnsi="仿宋" w:hint="eastAsia"/>
          <w:sz w:val="28"/>
          <w:szCs w:val="28"/>
        </w:rPr>
        <w:t>男子</w:t>
      </w: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排球“发球、垫球、传球、扣球专项测试”说明。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发球：上手发球起评分5分，下手发球起评分4分。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垫球：站于离墙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1.5m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、垫球高度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2.5m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以上、宽度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2m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，超出该范围不计次数，作为调整。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传球：站于离墙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1.5m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、传球高度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2.5m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以上、宽度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2m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，超出该范围不计次数，作为调整。</w:t>
      </w:r>
    </w:p>
    <w:p w:rsidR="00297A61" w:rsidRPr="006A4D6B" w:rsidRDefault="00297A61" w:rsidP="00297A61">
      <w:pPr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扣球：考生自抛（或传或垫）自扣3次，每次5分，网高</w:t>
      </w:r>
      <w:smartTag w:uri="urn:schemas-microsoft-com:office:smarttags" w:element="chmetcnv">
        <w:smartTagPr>
          <w:attr w:name="UnitName" w:val="米"/>
          <w:attr w:name="SourceValue" w:val="2.4"/>
          <w:attr w:name="HasSpace" w:val="False"/>
          <w:attr w:name="Negative" w:val="False"/>
          <w:attr w:name="NumberType" w:val="1"/>
          <w:attr w:name="TCSC" w:val="0"/>
        </w:smartTagPr>
        <w:r w:rsidRPr="006A4D6B">
          <w:rPr>
            <w:rFonts w:ascii="仿宋_GB2312" w:eastAsia="仿宋_GB2312" w:hAnsi="仿宋" w:hint="eastAsia"/>
            <w:color w:val="000000"/>
            <w:sz w:val="28"/>
            <w:szCs w:val="28"/>
          </w:rPr>
          <w:t>2.40米</w:t>
        </w:r>
      </w:smartTag>
      <w:r w:rsidRPr="006A4D6B">
        <w:rPr>
          <w:rFonts w:ascii="仿宋_GB2312" w:eastAsia="仿宋_GB2312" w:hAnsi="仿宋" w:hint="eastAsia"/>
          <w:color w:val="000000"/>
          <w:sz w:val="28"/>
          <w:szCs w:val="28"/>
        </w:rPr>
        <w:t>，球未抛好，可重抛。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（二）录取办法</w:t>
      </w:r>
    </w:p>
    <w:p w:rsidR="00297A61" w:rsidRPr="000506A3" w:rsidRDefault="00297A61" w:rsidP="00297A61">
      <w:pPr>
        <w:widowControl/>
        <w:spacing w:line="435" w:lineRule="atLeast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0506A3">
        <w:rPr>
          <w:rFonts w:ascii="仿宋_GB2312" w:eastAsia="仿宋_GB2312" w:hAnsi="宋体" w:cs="Arial" w:hint="eastAsia"/>
          <w:kern w:val="0"/>
          <w:sz w:val="32"/>
          <w:szCs w:val="32"/>
        </w:rPr>
        <w:t>特长测试合格且第一志愿填报我校的，在投档分不低于我校普通生最低录取分数线的65%的前提下，按特长测试成绩从高分到低分录取。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（三）时间安排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1. 特长潜能测试时间和地点：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测试时间： 5月1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0506A3">
        <w:rPr>
          <w:rFonts w:ascii="仿宋_GB2312" w:eastAsia="仿宋_GB2312" w:hAnsi="宋体" w:hint="eastAsia"/>
          <w:sz w:val="32"/>
          <w:szCs w:val="32"/>
        </w:rPr>
        <w:t>—1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0506A3">
        <w:rPr>
          <w:rFonts w:ascii="仿宋_GB2312" w:eastAsia="仿宋_GB2312" w:hAnsi="宋体" w:hint="eastAsia"/>
          <w:sz w:val="32"/>
          <w:szCs w:val="32"/>
        </w:rPr>
        <w:t>日</w:t>
      </w:r>
    </w:p>
    <w:p w:rsidR="00297A61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测试地点：厦门一中高中部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 w:cs="Arial"/>
          <w:color w:val="000000"/>
          <w:spacing w:val="-10"/>
          <w:kern w:val="0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Arial" w:hint="eastAsia"/>
          <w:color w:val="000000"/>
          <w:spacing w:val="-10"/>
          <w:kern w:val="0"/>
          <w:sz w:val="32"/>
          <w:szCs w:val="32"/>
        </w:rPr>
        <w:t>全市统一组织的特长测试结果将于测试后一周</w:t>
      </w:r>
      <w:r w:rsidRPr="000506A3">
        <w:rPr>
          <w:rFonts w:ascii="仿宋_GB2312" w:eastAsia="仿宋_GB2312" w:hAnsi="宋体" w:cs="Arial" w:hint="eastAsia"/>
          <w:color w:val="000000"/>
          <w:spacing w:val="-10"/>
          <w:kern w:val="0"/>
          <w:sz w:val="32"/>
          <w:szCs w:val="32"/>
        </w:rPr>
        <w:t>内在市教育局网站、市招办网站及我校网站上公布。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七、监督管理办法及相关电话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（一）学校成立招生工作领导小组和监督小组。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（二）本方案在校务公开栏公示五天，接受群众监督。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（三）招生咨询电话：2666071、2666130、8358065、2666078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招生监督电话：2666322   2666066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（四）本方案未尽事宜由厦门一中招生领导小组负责解释。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八、相关网站网址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1．厦门市教育局：http://www.xmedu.gov.cn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2．厦门市招生考试委员会办公室：http://www.xmzskszx.net</w:t>
      </w:r>
    </w:p>
    <w:p w:rsidR="00297A61" w:rsidRPr="000506A3" w:rsidRDefault="00297A61" w:rsidP="00297A61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506A3">
        <w:rPr>
          <w:rFonts w:ascii="仿宋_GB2312" w:eastAsia="仿宋_GB2312" w:hAnsi="宋体" w:hint="eastAsia"/>
          <w:sz w:val="32"/>
          <w:szCs w:val="32"/>
        </w:rPr>
        <w:t>3．厦门一中：</w:t>
      </w:r>
      <w:hyperlink r:id="rId4" w:history="1">
        <w:r w:rsidRPr="000506A3">
          <w:rPr>
            <w:rFonts w:ascii="仿宋_GB2312" w:eastAsia="仿宋_GB2312" w:hAnsi="宋体" w:hint="eastAsia"/>
            <w:sz w:val="32"/>
            <w:szCs w:val="32"/>
          </w:rPr>
          <w:t>http://www.yizhong.xm.fj.cn</w:t>
        </w:r>
      </w:hyperlink>
    </w:p>
    <w:p w:rsidR="00297A61" w:rsidRPr="000506A3" w:rsidRDefault="00297A61" w:rsidP="00297A61">
      <w:pPr>
        <w:spacing w:line="440" w:lineRule="exact"/>
        <w:rPr>
          <w:rFonts w:ascii="仿宋_GB2312" w:eastAsia="仿宋_GB2312" w:hAnsi="华文宋体"/>
          <w:sz w:val="32"/>
          <w:szCs w:val="32"/>
        </w:rPr>
      </w:pPr>
    </w:p>
    <w:p w:rsidR="00297A61" w:rsidRPr="000506A3" w:rsidRDefault="00297A61" w:rsidP="00297A61">
      <w:pPr>
        <w:spacing w:line="440" w:lineRule="exact"/>
        <w:ind w:firstLineChars="1650" w:firstLine="5280"/>
        <w:rPr>
          <w:rFonts w:ascii="仿宋_GB2312" w:eastAsia="仿宋_GB2312" w:hAnsi="华文宋体"/>
          <w:sz w:val="32"/>
          <w:szCs w:val="32"/>
        </w:rPr>
      </w:pPr>
      <w:r w:rsidRPr="000506A3">
        <w:rPr>
          <w:rFonts w:ascii="仿宋_GB2312" w:eastAsia="仿宋_GB2312" w:hAnsi="华文宋体" w:hint="eastAsia"/>
          <w:sz w:val="32"/>
          <w:szCs w:val="32"/>
        </w:rPr>
        <w:t>福建省厦门第一中学</w:t>
      </w:r>
    </w:p>
    <w:p w:rsidR="00297A61" w:rsidRPr="000506A3" w:rsidRDefault="00297A61" w:rsidP="00297A61">
      <w:pPr>
        <w:spacing w:line="440" w:lineRule="exact"/>
        <w:rPr>
          <w:rFonts w:ascii="仿宋_GB2312" w:eastAsia="仿宋_GB2312" w:hAnsi="华文宋体"/>
          <w:sz w:val="32"/>
          <w:szCs w:val="32"/>
        </w:rPr>
      </w:pPr>
      <w:r w:rsidRPr="000506A3">
        <w:rPr>
          <w:rFonts w:ascii="仿宋_GB2312" w:eastAsia="仿宋_GB2312" w:hAnsi="华文宋体" w:hint="eastAsia"/>
          <w:sz w:val="32"/>
          <w:szCs w:val="32"/>
        </w:rPr>
        <w:t xml:space="preserve">                                     2017年3月30日</w:t>
      </w:r>
    </w:p>
    <w:p w:rsidR="00297A61" w:rsidRPr="000506A3" w:rsidRDefault="00297A61" w:rsidP="00297A61">
      <w:pPr>
        <w:spacing w:line="440" w:lineRule="exact"/>
        <w:rPr>
          <w:rFonts w:ascii="仿宋_GB2312" w:eastAsia="仿宋_GB2312" w:hAnsi="华文宋体"/>
          <w:sz w:val="32"/>
          <w:szCs w:val="32"/>
          <w:u w:val="single"/>
        </w:rPr>
      </w:pPr>
      <w:r w:rsidRPr="000506A3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297A61" w:rsidRPr="000506A3" w:rsidRDefault="00297A61" w:rsidP="00297A61">
      <w:pPr>
        <w:spacing w:line="44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 xml:space="preserve">  </w:t>
      </w:r>
      <w:r w:rsidRPr="000506A3">
        <w:rPr>
          <w:rFonts w:ascii="仿宋_GB2312" w:eastAsia="仿宋_GB2312" w:hAnsi="华文宋体" w:hint="eastAsia"/>
          <w:sz w:val="32"/>
          <w:szCs w:val="32"/>
        </w:rPr>
        <w:t>福建省厦门第一中学办公室       2017年3月30日印发</w:t>
      </w:r>
    </w:p>
    <w:p w:rsidR="009B2EA0" w:rsidRDefault="00297A61" w:rsidP="00297A61">
      <w:r w:rsidRPr="000506A3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                                    </w:t>
      </w:r>
      <w:r w:rsidRPr="000506A3">
        <w:rPr>
          <w:rFonts w:ascii="楷体_GB2312" w:eastAsia="楷体_GB2312" w:hAnsi="华文宋体" w:hint="eastAsia"/>
          <w:sz w:val="32"/>
          <w:szCs w:val="32"/>
          <w:u w:val="single"/>
        </w:rPr>
        <w:t xml:space="preserve">   </w:t>
      </w:r>
    </w:p>
    <w:sectPr w:rsidR="009B2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61"/>
    <w:rsid w:val="0023280E"/>
    <w:rsid w:val="00297A61"/>
    <w:rsid w:val="009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F9D78F6-18DB-45DD-BE85-0C70BAD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izhong.xm.fj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zheng</cp:lastModifiedBy>
  <cp:revision>2</cp:revision>
  <dcterms:created xsi:type="dcterms:W3CDTF">2017-04-24T08:21:00Z</dcterms:created>
  <dcterms:modified xsi:type="dcterms:W3CDTF">2017-04-24T08:21:00Z</dcterms:modified>
</cp:coreProperties>
</file>